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="468" w:beforeLines="150" w:line="72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中国科协学会服务中心2024年度</w:t>
      </w:r>
    </w:p>
    <w:p>
      <w:pPr>
        <w:spacing w:line="72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审计项目评审方案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一、评审任务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成立评审小组，采用综合评分法，对中国科协学会服务中心2024年度审计项目X家申报单位进行评审，确定得分第1名的申报单位为拟成交供应商。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二、评审小组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按照《中国科协采购管理办法》有关规定，从科协专家库中随机抽取专家或邀请科协在职干部（不包含项目经办处室人员）组成评审小组。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三、资格审查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评审小组现场进行资格审查，不通过的情形包括：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（一）不具备国家规定的审计业务资质；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近三年在经营活动中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</w:t>
      </w:r>
      <w:r>
        <w:rPr>
          <w:rFonts w:ascii="仿宋_GB2312" w:hAnsi="仿宋_GB2312" w:eastAsia="仿宋_GB2312" w:cs="仿宋_GB2312"/>
          <w:sz w:val="32"/>
          <w:szCs w:val="32"/>
        </w:rPr>
        <w:t>违法违规记录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（三）超过项目采购预算报价；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（四）评审小组集体认定的其他情形。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评审会议程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定于2024年4月XX日，在XX会议室召开项目评审会。议程主要有：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（一）对申报材料进行现场拆封；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（二）介绍项目基本情况；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（三）对申报单位进行资格审查；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（四）评审组集体合议，评审组成员分别独立打分；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（五）计算出申报单位的得分均值，按照得分高低排序。</w:t>
      </w:r>
    </w:p>
    <w:p>
      <w:pPr>
        <w:spacing w:after="156" w:afterLines="5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五、评分标准</w:t>
      </w: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309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Align w:val="center"/>
          </w:tcPr>
          <w:p>
            <w:pPr>
              <w:spacing w:line="580" w:lineRule="exact"/>
              <w:jc w:val="center"/>
              <w:rPr>
                <w:rFonts w:ascii="等线" w:hAnsi="等线" w:cs="等线"/>
                <w:b/>
                <w:bCs/>
                <w:sz w:val="24"/>
              </w:rPr>
            </w:pPr>
            <w:r>
              <w:rPr>
                <w:rFonts w:hint="eastAsia" w:ascii="等线" w:hAnsi="等线" w:cs="等线"/>
                <w:b/>
                <w:bCs/>
                <w:sz w:val="24"/>
              </w:rPr>
              <w:t>评分项</w:t>
            </w:r>
          </w:p>
        </w:tc>
        <w:tc>
          <w:tcPr>
            <w:tcW w:w="3937" w:type="pct"/>
            <w:vAlign w:val="center"/>
          </w:tcPr>
          <w:p>
            <w:pPr>
              <w:spacing w:line="580" w:lineRule="exact"/>
              <w:jc w:val="center"/>
              <w:rPr>
                <w:rFonts w:ascii="等线" w:hAnsi="等线" w:cs="等线"/>
                <w:b/>
                <w:bCs/>
                <w:sz w:val="24"/>
              </w:rPr>
            </w:pPr>
            <w:r>
              <w:rPr>
                <w:rFonts w:hint="eastAsia" w:ascii="等线" w:hAnsi="等线" w:cs="等线"/>
                <w:b/>
                <w:bCs/>
                <w:sz w:val="24"/>
              </w:rPr>
              <w:t>评分标准（总分100）</w:t>
            </w:r>
          </w:p>
        </w:tc>
        <w:tc>
          <w:tcPr>
            <w:tcW w:w="427" w:type="pct"/>
            <w:vAlign w:val="center"/>
          </w:tcPr>
          <w:p>
            <w:pPr>
              <w:spacing w:line="580" w:lineRule="exact"/>
              <w:jc w:val="center"/>
              <w:rPr>
                <w:rFonts w:ascii="等线" w:hAnsi="等线" w:cs="等线"/>
                <w:b/>
                <w:bCs/>
                <w:sz w:val="24"/>
              </w:rPr>
            </w:pPr>
            <w:r>
              <w:rPr>
                <w:rFonts w:hint="eastAsia" w:ascii="等线" w:hAnsi="等线" w:cs="等线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restar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一、</w:t>
            </w:r>
            <w:r>
              <w:rPr>
                <w:rFonts w:ascii="等线" w:hAnsi="等线" w:cs="等线"/>
                <w:sz w:val="24"/>
              </w:rPr>
              <w:t>申报单位的</w:t>
            </w:r>
            <w:r>
              <w:rPr>
                <w:rFonts w:hint="eastAsia" w:ascii="等线" w:hAnsi="等线" w:cs="等线"/>
                <w:sz w:val="24"/>
              </w:rPr>
              <w:t>整体实力、</w:t>
            </w:r>
            <w:r>
              <w:rPr>
                <w:rFonts w:ascii="等线" w:hAnsi="等线" w:cs="等线"/>
                <w:sz w:val="24"/>
              </w:rPr>
              <w:t>服务承诺</w:t>
            </w:r>
          </w:p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（15分）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1.获国家级荣誉的计3分；获省部级（含全国行业协会）荣誉的计1分；其他不计分。仅看最高荣誉评分，多个荣誉不重复计分。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2.获得ISO质量管理体系认证的计5分；其他不计分。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3.提供参与本项目授权书的计1分；其他不计分。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4.对</w:t>
            </w:r>
            <w:r>
              <w:rPr>
                <w:rFonts w:ascii="等线" w:hAnsi="等线" w:cs="等线"/>
                <w:sz w:val="24"/>
              </w:rPr>
              <w:t>业务规范</w:t>
            </w:r>
            <w:r>
              <w:rPr>
                <w:rFonts w:hint="eastAsia" w:ascii="等线" w:hAnsi="等线" w:cs="等线"/>
                <w:sz w:val="24"/>
              </w:rPr>
              <w:t>、服务质量、增值服务做出明确承诺的计3分；缺其中1项的计2分；缺其中2项的计1分。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5.近3年获得服务对象表扬或感谢，在3次及以上的计3分；2次的计2分；1次的计1分；其他不计分。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restar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二、项目团队负责人的业务能力、类似业绩</w:t>
            </w:r>
          </w:p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（40分）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6.项目负责人具有高级会计师/高级审计师职称，或者持有注册会计师/国际注册内部审计师证书的计7分；其他不计分。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7.项目负责人具备8年及以上执业年限的计8分；5年及以上的计5分；3年及以上的计3分；其他不计分。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8.项目负责人近3年经办</w:t>
            </w:r>
            <w:r>
              <w:rPr>
                <w:rFonts w:ascii="等线" w:hAnsi="等线" w:cs="等线"/>
                <w:sz w:val="24"/>
              </w:rPr>
              <w:t>类似审计</w:t>
            </w:r>
            <w:r>
              <w:rPr>
                <w:rFonts w:hint="eastAsia" w:ascii="等线" w:hAnsi="等线" w:cs="等线"/>
                <w:sz w:val="24"/>
              </w:rPr>
              <w:t>或财务检查</w:t>
            </w:r>
            <w:r>
              <w:rPr>
                <w:rFonts w:ascii="等线" w:hAnsi="等线" w:cs="等线"/>
                <w:sz w:val="24"/>
              </w:rPr>
              <w:t>项目</w:t>
            </w:r>
            <w:r>
              <w:rPr>
                <w:rFonts w:hint="eastAsia" w:ascii="等线" w:hAnsi="等线" w:cs="等线"/>
                <w:sz w:val="24"/>
              </w:rPr>
              <w:t>，列举5个及以上的计25分；列举4个的计20分；列举3个的计15分；列举2个的计10分；列举1个的计5分；其他不计分。（备注：类似项目是指对象为事业单位的审计或财务检查，同一单位在同一年度委托的多个合同只能算1个。）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restar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三、服务团队的人员配置、工作计划（35分）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9.项目团队人数（含项目负责人、联络员）不少于要求人数的计10分；其他不计分。（备注：要求12人。）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10.除负责人、联络员之外的项目团队其他成员，均具有技术职称的计5分；一半及以上具有技术职称的计2分；其他不计分。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ascii="等线" w:hAnsi="等线" w:cs="等线"/>
                <w:sz w:val="24"/>
              </w:rPr>
              <w:t>1</w:t>
            </w:r>
            <w:r>
              <w:rPr>
                <w:rFonts w:hint="eastAsia" w:ascii="等线" w:hAnsi="等线" w:cs="等线"/>
                <w:sz w:val="24"/>
              </w:rPr>
              <w:t>1.除负责人、联络员之外的项目团队其他成员，均具有3年及以上审计或财务检查工作经验的计10分；一半及以上具有3年及以上审计或财务检查工作经验的计5分；其他不计分。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ascii="等线" w:hAnsi="等线" w:cs="等线"/>
                <w:sz w:val="24"/>
              </w:rPr>
              <w:t>1</w:t>
            </w:r>
            <w:r>
              <w:rPr>
                <w:rFonts w:hint="eastAsia" w:ascii="等线" w:hAnsi="等线" w:cs="等线"/>
                <w:sz w:val="24"/>
              </w:rPr>
              <w:t>2.结合服务团队情况，对本项目任务做出合理工作安排或计划的计2分；做出工作安排或计划但合理性欠缺的计1分；未作出工作安排或计划的不计分。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13.指定的联络员具有全日制大学本科及以上学历的计2分；具有审计、会计、财务相关专业背景的计2分；具有审计、会计、财务相关工作4年及以上经验的计4分。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四、</w:t>
            </w:r>
            <w:r>
              <w:rPr>
                <w:rFonts w:ascii="等线" w:hAnsi="等线" w:cs="等线"/>
                <w:sz w:val="24"/>
              </w:rPr>
              <w:t>报价</w:t>
            </w:r>
            <w:r>
              <w:rPr>
                <w:rFonts w:hint="eastAsia" w:ascii="等线" w:hAnsi="等线" w:cs="等线"/>
                <w:sz w:val="24"/>
              </w:rPr>
              <w:t>（10分）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exact"/>
              <w:rPr>
                <w:rFonts w:ascii="等线" w:hAnsi="等线" w:cs="等线"/>
                <w:sz w:val="24"/>
              </w:rPr>
            </w:pPr>
            <w:r>
              <w:rPr>
                <w:rFonts w:ascii="等线" w:hAnsi="等线" w:cs="等线"/>
                <w:sz w:val="24"/>
              </w:rPr>
              <w:t>1</w:t>
            </w:r>
            <w:r>
              <w:rPr>
                <w:rFonts w:hint="eastAsia" w:ascii="等线" w:hAnsi="等线" w:cs="等线"/>
                <w:sz w:val="24"/>
              </w:rPr>
              <w:t>4.在本项目采购预算基础上，按0折至9折（含）报价的计10分；9折（不含）至10折（含）报价的计5分。</w:t>
            </w:r>
          </w:p>
        </w:tc>
        <w:tc>
          <w:tcPr>
            <w:tcW w:w="427" w:type="pc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cs="等线"/>
                <w:sz w:val="24"/>
              </w:rPr>
            </w:pPr>
            <w:r>
              <w:rPr>
                <w:rFonts w:hint="eastAsia" w:ascii="等线" w:hAnsi="等线" w:cs="等线"/>
                <w:sz w:val="24"/>
              </w:rPr>
              <w:t>10分</w:t>
            </w:r>
          </w:p>
        </w:tc>
      </w:tr>
    </w:tbl>
    <w:p>
      <w:pPr>
        <w:spacing w:before="156" w:beforeLines="50"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六、结果公示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评审意见报经领导审定后，在中国科协学会服务中心官网公示成交供应商名单，或以邮件、信息方式通知所有供应商。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附件：1.评审意见模板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2.评分汇总表模板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3.评分表模板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附1</w:t>
      </w:r>
    </w:p>
    <w:p>
      <w:pPr>
        <w:spacing w:line="580" w:lineRule="exact"/>
        <w:jc w:val="left"/>
        <w:rPr>
          <w:rFonts w:ascii="小标宋" w:hAnsi="Calibri" w:eastAsia="小标宋"/>
          <w:b/>
          <w:sz w:val="44"/>
          <w:szCs w:val="44"/>
        </w:rPr>
      </w:pPr>
    </w:p>
    <w:p>
      <w:pPr>
        <w:spacing w:line="580" w:lineRule="exact"/>
        <w:jc w:val="center"/>
        <w:rPr>
          <w:rFonts w:ascii="小标宋" w:hAnsi="Calibri" w:eastAsia="小标宋"/>
          <w:bCs/>
          <w:sz w:val="44"/>
          <w:szCs w:val="44"/>
        </w:rPr>
      </w:pPr>
      <w:r>
        <w:rPr>
          <w:rFonts w:hint="eastAsia" w:ascii="小标宋" w:hAnsi="Calibri" w:eastAsia="小标宋"/>
          <w:bCs/>
          <w:sz w:val="44"/>
          <w:szCs w:val="44"/>
        </w:rPr>
        <w:t>评审意见</w:t>
      </w:r>
    </w:p>
    <w:p>
      <w:pPr>
        <w:spacing w:line="580" w:lineRule="exact"/>
        <w:jc w:val="center"/>
        <w:rPr>
          <w:rFonts w:ascii="Calibri" w:hAnsi="Calibri" w:eastAsia="仿宋_GB2312"/>
          <w:b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>评审组现场检查申报材料，中国科协学会服务中心2024年度审计项目共有X家申报单位，所有申报材料均密封完好。经现场拆封、项目介绍、分别审阅、集体合议、独立评分等程序，形成评审意见如下：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>建议由评审综合得分第1名的XX单位承担中国科协学会服务中心2024年度审计项目，成交价格XX元。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>附件：评分汇总表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 xml:space="preserve">     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580" w:lineRule="exact"/>
        <w:ind w:firstLine="643" w:firstLineChars="200"/>
        <w:jc w:val="left"/>
        <w:rPr>
          <w:rFonts w:ascii="仿宋_GB2312" w:hAnsi="Calibri" w:eastAsia="仿宋_GB2312"/>
          <w:b/>
          <w:sz w:val="32"/>
          <w:szCs w:val="32"/>
        </w:rPr>
      </w:pPr>
    </w:p>
    <w:p>
      <w:pPr>
        <w:spacing w:line="580" w:lineRule="exact"/>
        <w:ind w:firstLine="643" w:firstLineChars="200"/>
        <w:jc w:val="left"/>
        <w:rPr>
          <w:rFonts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评审组成员签字：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 xml:space="preserve">                 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>评审时间：2024年4月X日</w:t>
      </w:r>
    </w:p>
    <w:p>
      <w:pPr>
        <w:rPr>
          <w:rFonts w:ascii="仿宋_GB2312" w:hAnsi="Calibri" w:eastAsia="仿宋_GB2312"/>
          <w:bCs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附2</w:t>
      </w:r>
    </w:p>
    <w:p>
      <w:pPr>
        <w:spacing w:before="156" w:beforeLines="50" w:after="156" w:afterLines="50"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评分汇总表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项目名称：中国科协学会服务中心2024年度审计项目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994"/>
        <w:gridCol w:w="994"/>
        <w:gridCol w:w="994"/>
        <w:gridCol w:w="994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080" w:type="pct"/>
            <w:tcBorders>
              <w:tl2br w:val="single" w:color="auto" w:sz="4" w:space="0"/>
            </w:tcBorders>
          </w:tcPr>
          <w:p>
            <w:pPr>
              <w:wordWrap w:val="0"/>
              <w:ind w:firstLine="1968" w:firstLineChars="700"/>
              <w:jc w:val="right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 xml:space="preserve">评审组成员  </w:t>
            </w:r>
          </w:p>
          <w:p>
            <w:pPr>
              <w:ind w:firstLine="281" w:firstLineChars="100"/>
              <w:jc w:val="left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申报单位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总分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得分</w:t>
            </w:r>
          </w:p>
          <w:p>
            <w:pPr>
              <w:jc w:val="center"/>
              <w:rPr>
                <w:rFonts w:ascii="等线" w:hAnsi="等线" w:cs="等线"/>
                <w:b/>
                <w:bCs/>
                <w:szCs w:val="28"/>
              </w:rPr>
            </w:pPr>
            <w:r>
              <w:rPr>
                <w:rFonts w:hint="eastAsia" w:ascii="等线" w:hAnsi="等线" w:cs="等线"/>
                <w:b/>
                <w:bCs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评审组成员签字：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</w:p>
    <w:p>
      <w:r>
        <w:rPr>
          <w:rFonts w:hint="eastAsia" w:ascii="黑体" w:hAnsi="黑体" w:eastAsia="黑体" w:cs="黑体"/>
          <w:bCs/>
          <w:sz w:val="32"/>
          <w:szCs w:val="32"/>
        </w:rPr>
        <w:t>附3</w:t>
      </w:r>
    </w:p>
    <w:p>
      <w:pPr>
        <w:spacing w:before="156" w:beforeLines="50" w:after="156" w:afterLines="50"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评分表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项目名称：中国科协学会服务中心2024年度审计项目</w:t>
      </w: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496"/>
        <w:gridCol w:w="1430"/>
        <w:gridCol w:w="1460"/>
        <w:gridCol w:w="1314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41" w:type="pct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评分项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一、申报单位的整体实力、服务承诺（0-15分）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二、项目团队负责人的业务能力、类似业绩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（0-40分）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三、服务团队的人员配置、工作计划（0-35分）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四、报价（5-10分）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</w:t>
            </w:r>
          </w:p>
        </w:tc>
        <w:tc>
          <w:tcPr>
            <w:tcW w:w="8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Cs w:val="28"/>
        </w:rPr>
        <w:t>评审组成员签字：</w:t>
      </w:r>
    </w:p>
    <w:p>
      <w:pPr>
        <w:spacing w:before="312" w:beforeLines="100"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before="312" w:beforeLines="100"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before="312" w:beforeLines="100"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rPr>
          <w:rFonts w:eastAsia="黑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mM3ZWZhMWZiNTc0OTU3YzBhYjgwOWM0NmY5NzkifQ=="/>
  </w:docVars>
  <w:rsids>
    <w:rsidRoot w:val="5A0D5ECD"/>
    <w:rsid w:val="0053456B"/>
    <w:rsid w:val="00EA4FBF"/>
    <w:rsid w:val="00F35FD8"/>
    <w:rsid w:val="0C513DDD"/>
    <w:rsid w:val="5A0D5ECD"/>
    <w:rsid w:val="654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line="580" w:lineRule="exact"/>
      <w:ind w:firstLine="600" w:firstLineChars="200"/>
      <w:outlineLvl w:val="2"/>
    </w:p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  <w:pPr>
      <w:widowControl w:val="0"/>
      <w:overflowPunct/>
      <w:autoSpaceDE/>
      <w:autoSpaceDN/>
      <w:adjustRightInd/>
      <w:textAlignment w:val="auto"/>
    </w:pPr>
    <w:rPr>
      <w:rFonts w:ascii="Calibri" w:hAnsi="Courier New"/>
      <w:sz w:val="21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link w:val="14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51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paragraph" w:customStyle="1" w:styleId="12">
    <w:name w:val="正文表格"/>
    <w:basedOn w:val="1"/>
    <w:next w:val="4"/>
    <w:autoRedefine/>
    <w:qFormat/>
    <w:uiPriority w:val="0"/>
    <w:pPr>
      <w:widowControl w:val="0"/>
      <w:tabs>
        <w:tab w:val="left" w:pos="2802"/>
      </w:tabs>
      <w:overflowPunct/>
      <w:autoSpaceDE/>
      <w:autoSpaceDN/>
      <w:snapToGrid w:val="0"/>
      <w:jc w:val="left"/>
      <w:textAlignment w:val="auto"/>
    </w:pPr>
    <w:rPr>
      <w:rFonts w:ascii="仿宋_GB2312" w:hAnsi="仿宋" w:eastAsia="仿宋_GB2312"/>
      <w:color w:val="000000"/>
      <w:sz w:val="21"/>
      <w:szCs w:val="21"/>
    </w:rPr>
  </w:style>
  <w:style w:type="paragraph" w:customStyle="1" w:styleId="13">
    <w:name w:val="列出段落1"/>
    <w:basedOn w:val="1"/>
    <w:next w:val="3"/>
    <w:autoRedefine/>
    <w:qFormat/>
    <w:uiPriority w:val="99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 w:val="21"/>
      <w:szCs w:val="24"/>
    </w:rPr>
  </w:style>
  <w:style w:type="character" w:customStyle="1" w:styleId="14">
    <w:name w:val="页眉 字符"/>
    <w:basedOn w:val="9"/>
    <w:link w:val="7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26</Pages>
  <Words>1635</Words>
  <Characters>9324</Characters>
  <Lines>77</Lines>
  <Paragraphs>21</Paragraphs>
  <TotalTime>6</TotalTime>
  <ScaleCrop>false</ScaleCrop>
  <LinksUpToDate>false</LinksUpToDate>
  <CharactersWithSpaces>10938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2024-04-07T07:08:00Z</dcterms:created>
  <dc:creator>西瓜快跑</dc:creator>
  <cp:lastModifiedBy>移动公共会员</cp:lastModifiedBy>
  <dcterms:modified xsi:type="dcterms:W3CDTF">2024-04-07T09:27:14Z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032CABBE206444D6BE8DF1B784FF77EA_13</vt:lpwstr>
  </property>
</Properties>
</file>